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9004A71" w14:textId="32E87A89" w:rsidR="00C81F61" w:rsidRPr="008D2429" w:rsidRDefault="00C81F61" w:rsidP="008D2429">
      <w:pPr>
        <w:spacing w:line="480" w:lineRule="auto"/>
        <w:ind w:firstLine="720"/>
        <w:rPr>
          <w:rFonts w:ascii="Times New Roman" w:hAnsi="Times New Roman" w:cs="Times New Roman"/>
          <w:color w:val="343233"/>
          <w:sz w:val="24"/>
          <w:szCs w:val="24"/>
          <w:shd w:val="clear" w:color="auto" w:fill="FFFFFF"/>
        </w:rPr>
      </w:pPr>
      <w:r w:rsidRPr="008D2429">
        <w:rPr>
          <w:rFonts w:ascii="Times New Roman" w:hAnsi="Times New Roman" w:cs="Times New Roman"/>
          <w:color w:val="343233"/>
          <w:sz w:val="24"/>
          <w:szCs w:val="24"/>
          <w:shd w:val="clear" w:color="auto" w:fill="FFFFFF"/>
        </w:rPr>
        <w:t>Valley Realty is a real estate company which is located in Flagstaff, Arizona.</w:t>
      </w:r>
      <w:r w:rsidR="00280269" w:rsidRPr="008D2429">
        <w:rPr>
          <w:rFonts w:ascii="Times New Roman" w:hAnsi="Times New Roman" w:cs="Times New Roman"/>
          <w:color w:val="343233"/>
          <w:sz w:val="24"/>
          <w:szCs w:val="24"/>
          <w:shd w:val="clear" w:color="auto" w:fill="FFFFFF"/>
        </w:rPr>
        <w:t xml:space="preserve"> This company specializes in residential listings. The analysis done below is to assist in learning the likelihood of one of its listings being sold within a certain number of days.</w:t>
      </w:r>
    </w:p>
    <w:p w14:paraId="6D4445BB" w14:textId="0DDE0206" w:rsidR="00C800DA" w:rsidRPr="008D2429" w:rsidRDefault="00A02269" w:rsidP="008D2429">
      <w:pPr>
        <w:spacing w:line="480" w:lineRule="auto"/>
        <w:ind w:firstLine="720"/>
        <w:rPr>
          <w:rFonts w:ascii="Times New Roman" w:hAnsi="Times New Roman" w:cs="Times New Roman"/>
          <w:color w:val="343233"/>
          <w:sz w:val="24"/>
          <w:szCs w:val="24"/>
          <w:shd w:val="clear" w:color="auto" w:fill="FFFFFF"/>
        </w:rPr>
      </w:pPr>
      <w:r w:rsidRPr="008D2429">
        <w:rPr>
          <w:rFonts w:ascii="Times New Roman" w:hAnsi="Times New Roman" w:cs="Times New Roman"/>
          <w:color w:val="343233"/>
          <w:sz w:val="24"/>
          <w:szCs w:val="24"/>
          <w:shd w:val="clear" w:color="auto" w:fill="FFFFFF"/>
        </w:rPr>
        <w:t>If </w:t>
      </w:r>
      <w:r w:rsidRPr="008D2429">
        <w:rPr>
          <w:rStyle w:val="Emphasis"/>
          <w:rFonts w:ascii="Times New Roman" w:hAnsi="Times New Roman" w:cs="Times New Roman"/>
          <w:color w:val="343233"/>
          <w:sz w:val="24"/>
          <w:szCs w:val="24"/>
          <w:shd w:val="clear" w:color="auto" w:fill="FFFFFF"/>
        </w:rPr>
        <w:t>A</w:t>
      </w:r>
      <w:r w:rsidRPr="008D2429">
        <w:rPr>
          <w:rFonts w:ascii="Times New Roman" w:hAnsi="Times New Roman" w:cs="Times New Roman"/>
          <w:color w:val="343233"/>
          <w:sz w:val="24"/>
          <w:szCs w:val="24"/>
          <w:shd w:val="clear" w:color="auto" w:fill="FFFFFF"/>
        </w:rPr>
        <w:t> is defined as the event that a home is listed for more than 91 days before being sold, then the estimated probability of A is shown below:</w:t>
      </w:r>
    </w:p>
    <w:p w14:paraId="6F3F8455" w14:textId="7985BF98" w:rsidR="00A02269" w:rsidRPr="008D2429" w:rsidRDefault="00A02269" w:rsidP="008D2429">
      <w:pPr>
        <w:spacing w:line="480" w:lineRule="auto"/>
        <w:rPr>
          <w:rFonts w:ascii="Times New Roman" w:eastAsiaTheme="minorEastAsia" w:hAnsi="Times New Roman" w:cs="Times New Roman"/>
          <w:sz w:val="24"/>
          <w:szCs w:val="24"/>
        </w:rPr>
      </w:pPr>
      <m:oMathPara>
        <m:oMath>
          <m:r>
            <w:rPr>
              <w:rFonts w:ascii="Cambria Math" w:hAnsi="Cambria Math" w:cs="Times New Roman"/>
              <w:sz w:val="24"/>
              <w:szCs w:val="24"/>
            </w:rPr>
            <m:t>P</m:t>
          </m:r>
          <m:d>
            <m:dPr>
              <m:ctrlPr>
                <w:rPr>
                  <w:rFonts w:ascii="Cambria Math" w:hAnsi="Cambria Math" w:cs="Times New Roman"/>
                  <w:i/>
                  <w:sz w:val="24"/>
                  <w:szCs w:val="24"/>
                </w:rPr>
              </m:ctrlPr>
            </m:dPr>
            <m:e>
              <m:r>
                <w:rPr>
                  <w:rFonts w:ascii="Cambria Math" w:hAnsi="Cambria Math" w:cs="Times New Roman"/>
                  <w:sz w:val="24"/>
                  <w:szCs w:val="24"/>
                </w:rPr>
                <m:t>A</m:t>
              </m:r>
            </m:e>
          </m:d>
          <m:r>
            <w:rPr>
              <w:rFonts w:ascii="Cambria Math" w:hAnsi="Cambria Math" w:cs="Times New Roman"/>
              <w:sz w:val="24"/>
              <w:szCs w:val="24"/>
            </w:rPr>
            <m:t>=</m:t>
          </m:r>
          <m:f>
            <m:fPr>
              <m:ctrlPr>
                <w:rPr>
                  <w:rFonts w:ascii="Cambria Math" w:hAnsi="Cambria Math" w:cs="Times New Roman"/>
                  <w:i/>
                  <w:sz w:val="24"/>
                  <w:szCs w:val="24"/>
                </w:rPr>
              </m:ctrlPr>
            </m:fPr>
            <m:num>
              <m:r>
                <w:rPr>
                  <w:rFonts w:ascii="Cambria Math" w:hAnsi="Cambria Math" w:cs="Times New Roman"/>
                  <w:sz w:val="24"/>
                  <w:szCs w:val="24"/>
                </w:rPr>
                <m:t>total number ofhomes listed for more than 91 days before being sold</m:t>
              </m:r>
            </m:num>
            <m:den>
              <m:r>
                <w:rPr>
                  <w:rFonts w:ascii="Cambria Math" w:hAnsi="Cambria Math" w:cs="Times New Roman"/>
                  <w:sz w:val="24"/>
                  <w:szCs w:val="24"/>
                </w:rPr>
                <m:t>total number of homes listed</m:t>
              </m:r>
            </m:den>
          </m:f>
          <m:r>
            <w:rPr>
              <w:rFonts w:ascii="Cambria Math" w:hAnsi="Cambria Math" w:cs="Times New Roman"/>
              <w:sz w:val="24"/>
              <w:szCs w:val="24"/>
            </w:rPr>
            <m:t>=</m:t>
          </m:r>
          <m:f>
            <m:fPr>
              <m:ctrlPr>
                <w:rPr>
                  <w:rFonts w:ascii="Cambria Math" w:hAnsi="Cambria Math" w:cs="Times New Roman"/>
                  <w:i/>
                  <w:sz w:val="24"/>
                  <w:szCs w:val="24"/>
                </w:rPr>
              </m:ctrlPr>
            </m:fPr>
            <m:num>
              <m:r>
                <w:rPr>
                  <w:rFonts w:ascii="Cambria Math" w:hAnsi="Cambria Math" w:cs="Times New Roman"/>
                  <w:sz w:val="24"/>
                  <w:szCs w:val="24"/>
                </w:rPr>
                <m:t>235</m:t>
              </m:r>
            </m:num>
            <m:den>
              <m:r>
                <w:rPr>
                  <w:rFonts w:ascii="Cambria Math" w:hAnsi="Cambria Math" w:cs="Times New Roman"/>
                  <w:sz w:val="24"/>
                  <w:szCs w:val="24"/>
                </w:rPr>
                <m:t>880</m:t>
              </m:r>
            </m:den>
          </m:f>
          <m:r>
            <w:rPr>
              <w:rFonts w:ascii="Cambria Math" w:hAnsi="Cambria Math" w:cs="Times New Roman"/>
              <w:sz w:val="24"/>
              <w:szCs w:val="24"/>
            </w:rPr>
            <m:t>=0.267</m:t>
          </m:r>
        </m:oMath>
      </m:oMathPara>
    </w:p>
    <w:p w14:paraId="1B14130C" w14:textId="05F9877B" w:rsidR="007874F7" w:rsidRPr="008D2429" w:rsidRDefault="007874F7" w:rsidP="008D2429">
      <w:pPr>
        <w:spacing w:line="480" w:lineRule="auto"/>
        <w:rPr>
          <w:rFonts w:ascii="Times New Roman" w:eastAsiaTheme="minorEastAsia" w:hAnsi="Times New Roman" w:cs="Times New Roman"/>
          <w:sz w:val="24"/>
          <w:szCs w:val="24"/>
        </w:rPr>
      </w:pPr>
      <w:r w:rsidRPr="008D2429">
        <w:rPr>
          <w:rFonts w:ascii="Times New Roman" w:eastAsiaTheme="minorEastAsia" w:hAnsi="Times New Roman" w:cs="Times New Roman"/>
          <w:sz w:val="24"/>
          <w:szCs w:val="24"/>
        </w:rPr>
        <w:t>This means that there is 26.7% chance that a home is listed for more than 91 days before being sold.</w:t>
      </w:r>
    </w:p>
    <w:p w14:paraId="4BDE10D5" w14:textId="4B9A751B" w:rsidR="00A02269" w:rsidRPr="008D2429" w:rsidRDefault="00A02269" w:rsidP="008D2429">
      <w:pPr>
        <w:spacing w:line="480" w:lineRule="auto"/>
        <w:ind w:firstLine="720"/>
        <w:rPr>
          <w:rFonts w:ascii="Times New Roman" w:hAnsi="Times New Roman" w:cs="Times New Roman"/>
          <w:color w:val="343233"/>
          <w:sz w:val="24"/>
          <w:szCs w:val="24"/>
          <w:shd w:val="clear" w:color="auto" w:fill="FFFFFF"/>
        </w:rPr>
      </w:pPr>
      <w:r w:rsidRPr="008D2429">
        <w:rPr>
          <w:rFonts w:ascii="Times New Roman" w:hAnsi="Times New Roman" w:cs="Times New Roman"/>
          <w:color w:val="343233"/>
          <w:sz w:val="24"/>
          <w:szCs w:val="24"/>
          <w:shd w:val="clear" w:color="auto" w:fill="FFFFFF"/>
        </w:rPr>
        <w:t>If </w:t>
      </w:r>
      <w:r w:rsidRPr="008D2429">
        <w:rPr>
          <w:rStyle w:val="Emphasis"/>
          <w:rFonts w:ascii="Times New Roman" w:hAnsi="Times New Roman" w:cs="Times New Roman"/>
          <w:color w:val="343233"/>
          <w:sz w:val="24"/>
          <w:szCs w:val="24"/>
          <w:shd w:val="clear" w:color="auto" w:fill="FFFFFF"/>
        </w:rPr>
        <w:t>B</w:t>
      </w:r>
      <w:r w:rsidRPr="008D2429">
        <w:rPr>
          <w:rFonts w:ascii="Times New Roman" w:hAnsi="Times New Roman" w:cs="Times New Roman"/>
          <w:color w:val="343233"/>
          <w:sz w:val="24"/>
          <w:szCs w:val="24"/>
          <w:shd w:val="clear" w:color="auto" w:fill="FFFFFF"/>
        </w:rPr>
        <w:t> is defined as the event that an initial asking price is under $175,000, the estimated probability of B is:</w:t>
      </w:r>
    </w:p>
    <w:p w14:paraId="7F8B6AFD" w14:textId="4281CF76" w:rsidR="00A02269" w:rsidRPr="008D2429" w:rsidRDefault="00A02269" w:rsidP="008D2429">
      <w:pPr>
        <w:spacing w:line="480" w:lineRule="auto"/>
        <w:rPr>
          <w:rFonts w:ascii="Times New Roman" w:eastAsiaTheme="minorEastAsia" w:hAnsi="Times New Roman" w:cs="Times New Roman"/>
          <w:sz w:val="24"/>
          <w:szCs w:val="24"/>
        </w:rPr>
      </w:pPr>
      <m:oMathPara>
        <m:oMath>
          <m:r>
            <w:rPr>
              <w:rFonts w:ascii="Cambria Math" w:hAnsi="Cambria Math" w:cs="Times New Roman"/>
              <w:sz w:val="24"/>
              <w:szCs w:val="24"/>
            </w:rPr>
            <m:t>P</m:t>
          </m:r>
          <m:d>
            <m:dPr>
              <m:ctrlPr>
                <w:rPr>
                  <w:rFonts w:ascii="Cambria Math" w:hAnsi="Cambria Math" w:cs="Times New Roman"/>
                  <w:i/>
                  <w:sz w:val="24"/>
                  <w:szCs w:val="24"/>
                </w:rPr>
              </m:ctrlPr>
            </m:dPr>
            <m:e>
              <m:r>
                <w:rPr>
                  <w:rFonts w:ascii="Cambria Math" w:hAnsi="Cambria Math" w:cs="Times New Roman"/>
                  <w:sz w:val="24"/>
                  <w:szCs w:val="24"/>
                </w:rPr>
                <m:t>B</m:t>
              </m:r>
            </m:e>
          </m:d>
          <m:r>
            <w:rPr>
              <w:rFonts w:ascii="Cambria Math" w:hAnsi="Cambria Math" w:cs="Times New Roman"/>
              <w:sz w:val="24"/>
              <w:szCs w:val="24"/>
            </w:rPr>
            <m:t>=</m:t>
          </m:r>
          <m:f>
            <m:fPr>
              <m:ctrlPr>
                <w:rPr>
                  <w:rFonts w:ascii="Cambria Math" w:hAnsi="Cambria Math" w:cs="Times New Roman"/>
                  <w:i/>
                  <w:sz w:val="24"/>
                  <w:szCs w:val="24"/>
                </w:rPr>
              </m:ctrlPr>
            </m:fPr>
            <m:num>
              <m:r>
                <w:rPr>
                  <w:rFonts w:ascii="Cambria Math" w:hAnsi="Cambria Math" w:cs="Times New Roman"/>
                  <w:sz w:val="24"/>
                  <w:szCs w:val="24"/>
                </w:rPr>
                <m:t>total number of homes with initial asking price under $175,000</m:t>
              </m:r>
            </m:num>
            <m:den>
              <m:r>
                <w:rPr>
                  <w:rFonts w:ascii="Cambria Math" w:hAnsi="Cambria Math" w:cs="Times New Roman"/>
                  <w:sz w:val="24"/>
                  <w:szCs w:val="24"/>
                </w:rPr>
                <m:t>total number of homes listed</m:t>
              </m:r>
            </m:den>
          </m:f>
          <m:r>
            <w:rPr>
              <w:rFonts w:ascii="Cambria Math" w:hAnsi="Cambria Math" w:cs="Times New Roman"/>
              <w:sz w:val="24"/>
              <w:szCs w:val="24"/>
            </w:rPr>
            <m:t>=</m:t>
          </m:r>
          <m:f>
            <m:fPr>
              <m:ctrlPr>
                <w:rPr>
                  <w:rFonts w:ascii="Cambria Math" w:hAnsi="Cambria Math" w:cs="Times New Roman"/>
                  <w:i/>
                  <w:sz w:val="24"/>
                  <w:szCs w:val="24"/>
                </w:rPr>
              </m:ctrlPr>
            </m:fPr>
            <m:num>
              <m:r>
                <w:rPr>
                  <w:rFonts w:ascii="Cambria Math" w:hAnsi="Cambria Math" w:cs="Times New Roman"/>
                  <w:sz w:val="24"/>
                  <w:szCs w:val="24"/>
                </w:rPr>
                <m:t>125</m:t>
              </m:r>
            </m:num>
            <m:den>
              <m:r>
                <w:rPr>
                  <w:rFonts w:ascii="Cambria Math" w:hAnsi="Cambria Math" w:cs="Times New Roman"/>
                  <w:sz w:val="24"/>
                  <w:szCs w:val="24"/>
                </w:rPr>
                <m:t>880</m:t>
              </m:r>
            </m:den>
          </m:f>
          <m:r>
            <w:rPr>
              <w:rFonts w:ascii="Cambria Math" w:hAnsi="Cambria Math" w:cs="Times New Roman"/>
              <w:sz w:val="24"/>
              <w:szCs w:val="24"/>
            </w:rPr>
            <m:t>=0.142</m:t>
          </m:r>
        </m:oMath>
      </m:oMathPara>
    </w:p>
    <w:p w14:paraId="0900ADC6" w14:textId="74B57F18" w:rsidR="001071F0" w:rsidRPr="008D2429" w:rsidRDefault="001071F0" w:rsidP="008D2429">
      <w:pPr>
        <w:spacing w:line="480" w:lineRule="auto"/>
        <w:rPr>
          <w:rFonts w:ascii="Times New Roman" w:eastAsiaTheme="minorEastAsia" w:hAnsi="Times New Roman" w:cs="Times New Roman"/>
          <w:sz w:val="24"/>
          <w:szCs w:val="24"/>
        </w:rPr>
      </w:pPr>
      <w:r w:rsidRPr="008D2429">
        <w:rPr>
          <w:rFonts w:ascii="Times New Roman" w:eastAsiaTheme="minorEastAsia" w:hAnsi="Times New Roman" w:cs="Times New Roman"/>
          <w:sz w:val="24"/>
          <w:szCs w:val="24"/>
        </w:rPr>
        <w:t>This indicates that there is 14.2% chance that the initial asking price is of a home is under $175,000.</w:t>
      </w:r>
    </w:p>
    <w:p w14:paraId="5BCD645E" w14:textId="1F1601EC" w:rsidR="00A02269" w:rsidRPr="008D2429" w:rsidRDefault="00A02269" w:rsidP="008D2429">
      <w:pPr>
        <w:spacing w:line="480" w:lineRule="auto"/>
        <w:ind w:firstLine="720"/>
        <w:rPr>
          <w:rFonts w:ascii="Times New Roman" w:eastAsiaTheme="minorEastAsia" w:hAnsi="Times New Roman" w:cs="Times New Roman"/>
          <w:sz w:val="24"/>
          <w:szCs w:val="24"/>
        </w:rPr>
      </w:pPr>
      <w:r w:rsidRPr="008D2429">
        <w:rPr>
          <w:rFonts w:ascii="Times New Roman" w:eastAsiaTheme="minorEastAsia" w:hAnsi="Times New Roman" w:cs="Times New Roman"/>
          <w:sz w:val="24"/>
          <w:szCs w:val="24"/>
        </w:rPr>
        <w:t xml:space="preserve">The probability of </w:t>
      </w:r>
      <m:oMath>
        <m:r>
          <w:rPr>
            <w:rFonts w:ascii="Cambria Math" w:eastAsiaTheme="minorEastAsia" w:hAnsi="Cambria Math" w:cs="Times New Roman"/>
            <w:sz w:val="24"/>
            <w:szCs w:val="24"/>
          </w:rPr>
          <m:t>A∩B</m:t>
        </m:r>
      </m:oMath>
      <w:r w:rsidRPr="008D2429">
        <w:rPr>
          <w:rFonts w:ascii="Times New Roman" w:eastAsiaTheme="minorEastAsia" w:hAnsi="Times New Roman" w:cs="Times New Roman"/>
          <w:sz w:val="24"/>
          <w:szCs w:val="24"/>
        </w:rPr>
        <w:t xml:space="preserve"> is the </w:t>
      </w:r>
      <w:r w:rsidR="00AE34FD" w:rsidRPr="008D2429">
        <w:rPr>
          <w:rFonts w:ascii="Times New Roman" w:eastAsiaTheme="minorEastAsia" w:hAnsi="Times New Roman" w:cs="Times New Roman"/>
          <w:sz w:val="24"/>
          <w:szCs w:val="24"/>
        </w:rPr>
        <w:t>probability that a home is listed for more than 91 days before being sold and has an initial asking price under $175,000. This probability is as follows:</w:t>
      </w:r>
    </w:p>
    <w:p w14:paraId="4B4816C6" w14:textId="5F39BE37" w:rsidR="0036434A" w:rsidRPr="008D2429" w:rsidRDefault="00AE34FD" w:rsidP="008D2429">
      <w:pPr>
        <w:spacing w:line="480" w:lineRule="auto"/>
        <w:rPr>
          <w:rFonts w:ascii="Times New Roman" w:eastAsiaTheme="minorEastAsia" w:hAnsi="Times New Roman" w:cs="Times New Roman"/>
          <w:sz w:val="24"/>
          <w:szCs w:val="24"/>
        </w:rPr>
      </w:pPr>
      <m:oMathPara>
        <m:oMath>
          <m:r>
            <w:rPr>
              <w:rFonts w:ascii="Cambria Math" w:eastAsiaTheme="minorEastAsia" w:hAnsi="Cambria Math" w:cs="Times New Roman"/>
              <w:sz w:val="24"/>
              <w:szCs w:val="24"/>
            </w:rPr>
            <m:t>P</m:t>
          </m:r>
          <m:d>
            <m:dPr>
              <m:ctrlPr>
                <w:rPr>
                  <w:rFonts w:ascii="Cambria Math" w:eastAsiaTheme="minorEastAsia" w:hAnsi="Cambria Math" w:cs="Times New Roman"/>
                  <w:i/>
                  <w:sz w:val="24"/>
                  <w:szCs w:val="24"/>
                </w:rPr>
              </m:ctrlPr>
            </m:dPr>
            <m:e>
              <m:r>
                <w:rPr>
                  <w:rFonts w:ascii="Cambria Math" w:eastAsiaTheme="minorEastAsia" w:hAnsi="Cambria Math" w:cs="Times New Roman"/>
                  <w:sz w:val="24"/>
                  <w:szCs w:val="24"/>
                </w:rPr>
                <m:t>A∩B</m:t>
              </m:r>
            </m:e>
          </m:d>
          <m:r>
            <w:rPr>
              <w:rFonts w:ascii="Cambria Math" w:eastAsiaTheme="minorEastAsia" w:hAnsi="Cambria Math" w:cs="Times New Roman"/>
              <w:sz w:val="24"/>
              <w:szCs w:val="24"/>
            </w:rPr>
            <m:t>=</m:t>
          </m:r>
        </m:oMath>
      </m:oMathPara>
    </w:p>
    <w:p w14:paraId="689F76AF" w14:textId="584EB9C6" w:rsidR="0036434A" w:rsidRPr="008D2429" w:rsidRDefault="00FE2287" w:rsidP="008D2429">
      <w:pPr>
        <w:spacing w:line="480" w:lineRule="auto"/>
        <w:rPr>
          <w:rFonts w:ascii="Times New Roman" w:eastAsiaTheme="minorEastAsia" w:hAnsi="Times New Roman" w:cs="Times New Roman"/>
          <w:sz w:val="24"/>
          <w:szCs w:val="24"/>
        </w:rPr>
      </w:pPr>
      <m:oMathPara>
        <m:oMath>
          <m:f>
            <m:fPr>
              <m:ctrlPr>
                <w:rPr>
                  <w:rFonts w:ascii="Cambria Math" w:eastAsiaTheme="minorEastAsia" w:hAnsi="Cambria Math" w:cs="Times New Roman"/>
                  <w:i/>
                  <w:sz w:val="24"/>
                  <w:szCs w:val="24"/>
                </w:rPr>
              </m:ctrlPr>
            </m:fPr>
            <m:num>
              <m:r>
                <w:rPr>
                  <w:rFonts w:ascii="Cambria Math" w:eastAsiaTheme="minorEastAsia" w:hAnsi="Cambria Math" w:cs="Times New Roman"/>
                  <w:sz w:val="24"/>
                  <w:szCs w:val="24"/>
                </w:rPr>
                <m:t>no.homes listed for more than 91 days before being sold and with an initial asking price under $175000</m:t>
              </m:r>
            </m:num>
            <m:den>
              <m:r>
                <w:rPr>
                  <w:rFonts w:ascii="Cambria Math" w:eastAsiaTheme="minorEastAsia" w:hAnsi="Cambria Math" w:cs="Times New Roman"/>
                  <w:sz w:val="24"/>
                  <w:szCs w:val="24"/>
                </w:rPr>
                <m:t>total number of homes listed</m:t>
              </m:r>
            </m:den>
          </m:f>
        </m:oMath>
      </m:oMathPara>
    </w:p>
    <w:p w14:paraId="1B9D42E9" w14:textId="03B6BCE9" w:rsidR="00AE34FD" w:rsidRPr="008D2429" w:rsidRDefault="0036434A" w:rsidP="008D2429">
      <w:pPr>
        <w:spacing w:line="480" w:lineRule="auto"/>
        <w:rPr>
          <w:rFonts w:ascii="Times New Roman" w:eastAsiaTheme="minorEastAsia" w:hAnsi="Times New Roman" w:cs="Times New Roman"/>
          <w:sz w:val="24"/>
          <w:szCs w:val="24"/>
        </w:rPr>
      </w:pPr>
      <m:oMathPara>
        <m:oMath>
          <m:r>
            <w:rPr>
              <w:rFonts w:ascii="Cambria Math" w:eastAsiaTheme="minorEastAsia" w:hAnsi="Cambria Math" w:cs="Times New Roman"/>
              <w:sz w:val="24"/>
              <w:szCs w:val="24"/>
            </w:rPr>
            <m:t>=</m:t>
          </m:r>
          <m:f>
            <m:fPr>
              <m:ctrlPr>
                <w:rPr>
                  <w:rFonts w:ascii="Cambria Math" w:eastAsiaTheme="minorEastAsia" w:hAnsi="Cambria Math" w:cs="Times New Roman"/>
                  <w:i/>
                  <w:sz w:val="24"/>
                  <w:szCs w:val="24"/>
                </w:rPr>
              </m:ctrlPr>
            </m:fPr>
            <m:num>
              <m:r>
                <w:rPr>
                  <w:rFonts w:ascii="Cambria Math" w:eastAsiaTheme="minorEastAsia" w:hAnsi="Cambria Math" w:cs="Times New Roman"/>
                  <w:sz w:val="24"/>
                  <w:szCs w:val="24"/>
                </w:rPr>
                <m:t>15</m:t>
              </m:r>
            </m:num>
            <m:den>
              <m:r>
                <w:rPr>
                  <w:rFonts w:ascii="Cambria Math" w:eastAsiaTheme="minorEastAsia" w:hAnsi="Cambria Math" w:cs="Times New Roman"/>
                  <w:sz w:val="24"/>
                  <w:szCs w:val="24"/>
                </w:rPr>
                <m:t>880</m:t>
              </m:r>
            </m:den>
          </m:f>
          <m:r>
            <w:rPr>
              <w:rFonts w:ascii="Cambria Math" w:eastAsiaTheme="minorEastAsia" w:hAnsi="Cambria Math" w:cs="Times New Roman"/>
              <w:sz w:val="24"/>
              <w:szCs w:val="24"/>
            </w:rPr>
            <m:t>=0.017</m:t>
          </m:r>
        </m:oMath>
      </m:oMathPara>
    </w:p>
    <w:p w14:paraId="1479DE0F" w14:textId="0B03A774" w:rsidR="00AA4407" w:rsidRPr="008D2429" w:rsidRDefault="00AA4407" w:rsidP="008D2429">
      <w:pPr>
        <w:spacing w:line="480" w:lineRule="auto"/>
        <w:rPr>
          <w:rFonts w:ascii="Times New Roman" w:eastAsiaTheme="minorEastAsia" w:hAnsi="Times New Roman" w:cs="Times New Roman"/>
          <w:sz w:val="24"/>
          <w:szCs w:val="24"/>
        </w:rPr>
      </w:pPr>
      <w:r w:rsidRPr="008D2429">
        <w:rPr>
          <w:rFonts w:ascii="Times New Roman" w:eastAsiaTheme="minorEastAsia" w:hAnsi="Times New Roman" w:cs="Times New Roman"/>
          <w:sz w:val="24"/>
          <w:szCs w:val="24"/>
        </w:rPr>
        <w:lastRenderedPageBreak/>
        <w:t xml:space="preserve">The chances of a home being listed for more than 91 days before being sold and has an initial asking price under $175,000 is approximately 1.7%. </w:t>
      </w:r>
    </w:p>
    <w:p w14:paraId="04EF5577" w14:textId="4C14776B" w:rsidR="00AE34FD" w:rsidRPr="008D2429" w:rsidRDefault="00AE34FD" w:rsidP="008D2429">
      <w:pPr>
        <w:spacing w:line="480" w:lineRule="auto"/>
        <w:ind w:firstLine="720"/>
        <w:rPr>
          <w:rFonts w:ascii="Times New Roman" w:eastAsiaTheme="minorEastAsia" w:hAnsi="Times New Roman" w:cs="Times New Roman"/>
          <w:sz w:val="24"/>
          <w:szCs w:val="24"/>
        </w:rPr>
      </w:pPr>
      <w:r w:rsidRPr="008D2429">
        <w:rPr>
          <w:rFonts w:ascii="Times New Roman" w:eastAsiaTheme="minorEastAsia" w:hAnsi="Times New Roman" w:cs="Times New Roman"/>
          <w:sz w:val="24"/>
          <w:szCs w:val="24"/>
        </w:rPr>
        <w:t xml:space="preserve">Let us assume that a contract with an initial asking price of less </w:t>
      </w:r>
      <w:r w:rsidR="003F1B17" w:rsidRPr="008D2429">
        <w:rPr>
          <w:rFonts w:ascii="Times New Roman" w:eastAsiaTheme="minorEastAsia" w:hAnsi="Times New Roman" w:cs="Times New Roman"/>
          <w:sz w:val="24"/>
          <w:szCs w:val="24"/>
        </w:rPr>
        <w:t>than</w:t>
      </w:r>
      <w:r w:rsidRPr="008D2429">
        <w:rPr>
          <w:rFonts w:ascii="Times New Roman" w:eastAsiaTheme="minorEastAsia" w:hAnsi="Times New Roman" w:cs="Times New Roman"/>
          <w:sz w:val="24"/>
          <w:szCs w:val="24"/>
        </w:rPr>
        <w:t xml:space="preserve"> $175,000 was just signed, the probability that it will take the company more than 91 days to sell is:</w:t>
      </w:r>
    </w:p>
    <w:p w14:paraId="6DA57766" w14:textId="48361BFD" w:rsidR="00AE34FD" w:rsidRPr="008D2429" w:rsidRDefault="00AE34FD" w:rsidP="008D2429">
      <w:pPr>
        <w:spacing w:line="480" w:lineRule="auto"/>
        <w:rPr>
          <w:rFonts w:ascii="Times New Roman" w:eastAsiaTheme="minorEastAsia" w:hAnsi="Times New Roman" w:cs="Times New Roman"/>
          <w:i/>
          <w:sz w:val="24"/>
          <w:szCs w:val="24"/>
          <w:lang w:val="en-US"/>
        </w:rPr>
      </w:pPr>
      <m:oMathPara>
        <m:oMath>
          <m:r>
            <w:rPr>
              <w:rFonts w:ascii="Cambria Math" w:eastAsiaTheme="minorEastAsia" w:hAnsi="Cambria Math" w:cs="Times New Roman"/>
              <w:sz w:val="24"/>
              <w:szCs w:val="24"/>
            </w:rPr>
            <m:t>P</m:t>
          </m:r>
          <m:d>
            <m:dPr>
              <m:ctrlPr>
                <w:rPr>
                  <w:rFonts w:ascii="Cambria Math" w:eastAsiaTheme="minorEastAsia" w:hAnsi="Cambria Math" w:cs="Times New Roman"/>
                  <w:i/>
                  <w:sz w:val="24"/>
                  <w:szCs w:val="24"/>
                </w:rPr>
              </m:ctrlPr>
            </m:dPr>
            <m:e>
              <m:r>
                <w:rPr>
                  <w:rFonts w:ascii="Cambria Math" w:eastAsiaTheme="minorEastAsia" w:hAnsi="Cambria Math" w:cs="Times New Roman"/>
                  <w:sz w:val="24"/>
                  <w:szCs w:val="24"/>
                </w:rPr>
                <m:t>A</m:t>
              </m:r>
              <m:ctrlPr>
                <w:rPr>
                  <w:rFonts w:ascii="Cambria Math" w:eastAsiaTheme="minorEastAsia" w:hAnsi="Cambria Math" w:cs="Times New Roman"/>
                  <w:i/>
                  <w:sz w:val="24"/>
                  <w:szCs w:val="24"/>
                  <w:lang w:val="en-US"/>
                </w:rPr>
              </m:ctrlPr>
            </m:e>
            <m:e>
              <m:r>
                <w:rPr>
                  <w:rFonts w:ascii="Cambria Math" w:eastAsiaTheme="minorEastAsia" w:hAnsi="Cambria Math" w:cs="Times New Roman"/>
                  <w:sz w:val="24"/>
                  <w:szCs w:val="24"/>
                  <w:lang w:val="en-US"/>
                </w:rPr>
                <m:t>B</m:t>
              </m:r>
              <m:ctrlPr>
                <w:rPr>
                  <w:rFonts w:ascii="Cambria Math" w:eastAsiaTheme="minorEastAsia" w:hAnsi="Cambria Math" w:cs="Times New Roman"/>
                  <w:i/>
                  <w:sz w:val="24"/>
                  <w:szCs w:val="24"/>
                  <w:lang w:val="en-US"/>
                </w:rPr>
              </m:ctrlPr>
            </m:e>
          </m:d>
          <m:r>
            <w:rPr>
              <w:rFonts w:ascii="Cambria Math" w:eastAsiaTheme="minorEastAsia" w:hAnsi="Cambria Math" w:cs="Times New Roman"/>
              <w:sz w:val="24"/>
              <w:szCs w:val="24"/>
              <w:lang w:val="en-US"/>
            </w:rPr>
            <m:t>=</m:t>
          </m:r>
          <m:f>
            <m:fPr>
              <m:ctrlPr>
                <w:rPr>
                  <w:rFonts w:ascii="Cambria Math" w:eastAsiaTheme="minorEastAsia" w:hAnsi="Cambria Math" w:cs="Times New Roman"/>
                  <w:i/>
                  <w:sz w:val="24"/>
                  <w:szCs w:val="24"/>
                  <w:lang w:val="en-US"/>
                </w:rPr>
              </m:ctrlPr>
            </m:fPr>
            <m:num>
              <m:r>
                <w:rPr>
                  <w:rFonts w:ascii="Cambria Math" w:eastAsiaTheme="minorEastAsia" w:hAnsi="Cambria Math" w:cs="Times New Roman"/>
                  <w:sz w:val="24"/>
                  <w:szCs w:val="24"/>
                  <w:lang w:val="en-US"/>
                </w:rPr>
                <m:t>P</m:t>
              </m:r>
              <m:d>
                <m:dPr>
                  <m:ctrlPr>
                    <w:rPr>
                      <w:rFonts w:ascii="Cambria Math" w:eastAsiaTheme="minorEastAsia" w:hAnsi="Cambria Math" w:cs="Times New Roman"/>
                      <w:i/>
                      <w:sz w:val="24"/>
                      <w:szCs w:val="24"/>
                      <w:lang w:val="en-US"/>
                    </w:rPr>
                  </m:ctrlPr>
                </m:dPr>
                <m:e>
                  <m:r>
                    <w:rPr>
                      <w:rFonts w:ascii="Cambria Math" w:eastAsiaTheme="minorEastAsia" w:hAnsi="Cambria Math" w:cs="Times New Roman"/>
                      <w:sz w:val="24"/>
                      <w:szCs w:val="24"/>
                      <w:lang w:val="en-US"/>
                    </w:rPr>
                    <m:t>A∩B</m:t>
                  </m:r>
                </m:e>
              </m:d>
            </m:num>
            <m:den>
              <m:r>
                <w:rPr>
                  <w:rFonts w:ascii="Cambria Math" w:eastAsiaTheme="minorEastAsia" w:hAnsi="Cambria Math" w:cs="Times New Roman"/>
                  <w:sz w:val="24"/>
                  <w:szCs w:val="24"/>
                  <w:lang w:val="en-US"/>
                </w:rPr>
                <m:t>P</m:t>
              </m:r>
              <m:d>
                <m:dPr>
                  <m:ctrlPr>
                    <w:rPr>
                      <w:rFonts w:ascii="Cambria Math" w:eastAsiaTheme="minorEastAsia" w:hAnsi="Cambria Math" w:cs="Times New Roman"/>
                      <w:i/>
                      <w:sz w:val="24"/>
                      <w:szCs w:val="24"/>
                      <w:lang w:val="en-US"/>
                    </w:rPr>
                  </m:ctrlPr>
                </m:dPr>
                <m:e>
                  <m:r>
                    <w:rPr>
                      <w:rFonts w:ascii="Cambria Math" w:eastAsiaTheme="minorEastAsia" w:hAnsi="Cambria Math" w:cs="Times New Roman"/>
                      <w:sz w:val="24"/>
                      <w:szCs w:val="24"/>
                      <w:lang w:val="en-US"/>
                    </w:rPr>
                    <m:t>B</m:t>
                  </m:r>
                </m:e>
              </m:d>
            </m:den>
          </m:f>
          <m:r>
            <w:rPr>
              <w:rFonts w:ascii="Cambria Math" w:eastAsiaTheme="minorEastAsia" w:hAnsi="Cambria Math" w:cs="Times New Roman"/>
              <w:sz w:val="24"/>
              <w:szCs w:val="24"/>
              <w:lang w:val="en-US"/>
            </w:rPr>
            <m:t>=</m:t>
          </m:r>
          <m:f>
            <m:fPr>
              <m:ctrlPr>
                <w:rPr>
                  <w:rFonts w:ascii="Cambria Math" w:eastAsiaTheme="minorEastAsia" w:hAnsi="Cambria Math" w:cs="Times New Roman"/>
                  <w:i/>
                  <w:sz w:val="24"/>
                  <w:szCs w:val="24"/>
                  <w:lang w:val="en-US"/>
                </w:rPr>
              </m:ctrlPr>
            </m:fPr>
            <m:num>
              <m:f>
                <m:fPr>
                  <m:ctrlPr>
                    <w:rPr>
                      <w:rFonts w:ascii="Cambria Math" w:eastAsiaTheme="minorEastAsia" w:hAnsi="Cambria Math" w:cs="Times New Roman"/>
                      <w:i/>
                      <w:sz w:val="24"/>
                      <w:szCs w:val="24"/>
                      <w:lang w:val="en-US"/>
                    </w:rPr>
                  </m:ctrlPr>
                </m:fPr>
                <m:num>
                  <m:r>
                    <w:rPr>
                      <w:rFonts w:ascii="Cambria Math" w:eastAsiaTheme="minorEastAsia" w:hAnsi="Cambria Math" w:cs="Times New Roman"/>
                      <w:sz w:val="24"/>
                      <w:szCs w:val="24"/>
                      <w:lang w:val="en-US"/>
                    </w:rPr>
                    <m:t>15</m:t>
                  </m:r>
                </m:num>
                <m:den>
                  <m:r>
                    <w:rPr>
                      <w:rFonts w:ascii="Cambria Math" w:eastAsiaTheme="minorEastAsia" w:hAnsi="Cambria Math" w:cs="Times New Roman"/>
                      <w:sz w:val="24"/>
                      <w:szCs w:val="24"/>
                      <w:lang w:val="en-US"/>
                    </w:rPr>
                    <m:t>880</m:t>
                  </m:r>
                </m:den>
              </m:f>
            </m:num>
            <m:den>
              <m:f>
                <m:fPr>
                  <m:ctrlPr>
                    <w:rPr>
                      <w:rFonts w:ascii="Cambria Math" w:eastAsiaTheme="minorEastAsia" w:hAnsi="Cambria Math" w:cs="Times New Roman"/>
                      <w:i/>
                      <w:sz w:val="24"/>
                      <w:szCs w:val="24"/>
                      <w:lang w:val="en-US"/>
                    </w:rPr>
                  </m:ctrlPr>
                </m:fPr>
                <m:num>
                  <m:r>
                    <w:rPr>
                      <w:rFonts w:ascii="Cambria Math" w:eastAsiaTheme="minorEastAsia" w:hAnsi="Cambria Math" w:cs="Times New Roman"/>
                      <w:sz w:val="24"/>
                      <w:szCs w:val="24"/>
                      <w:lang w:val="en-US"/>
                    </w:rPr>
                    <m:t>125</m:t>
                  </m:r>
                </m:num>
                <m:den>
                  <m:r>
                    <w:rPr>
                      <w:rFonts w:ascii="Cambria Math" w:eastAsiaTheme="minorEastAsia" w:hAnsi="Cambria Math" w:cs="Times New Roman"/>
                      <w:sz w:val="24"/>
                      <w:szCs w:val="24"/>
                      <w:lang w:val="en-US"/>
                    </w:rPr>
                    <m:t>880</m:t>
                  </m:r>
                </m:den>
              </m:f>
            </m:den>
          </m:f>
          <m:r>
            <w:rPr>
              <w:rFonts w:ascii="Cambria Math" w:eastAsiaTheme="minorEastAsia" w:hAnsi="Cambria Math" w:cs="Times New Roman"/>
              <w:sz w:val="24"/>
              <w:szCs w:val="24"/>
              <w:lang w:val="en-US"/>
            </w:rPr>
            <m:t>=</m:t>
          </m:r>
          <m:f>
            <m:fPr>
              <m:ctrlPr>
                <w:rPr>
                  <w:rFonts w:ascii="Cambria Math" w:eastAsiaTheme="minorEastAsia" w:hAnsi="Cambria Math" w:cs="Times New Roman"/>
                  <w:i/>
                  <w:sz w:val="24"/>
                  <w:szCs w:val="24"/>
                  <w:lang w:val="en-US"/>
                </w:rPr>
              </m:ctrlPr>
            </m:fPr>
            <m:num>
              <m:r>
                <w:rPr>
                  <w:rFonts w:ascii="Cambria Math" w:eastAsiaTheme="minorEastAsia" w:hAnsi="Cambria Math" w:cs="Times New Roman"/>
                  <w:sz w:val="24"/>
                  <w:szCs w:val="24"/>
                  <w:lang w:val="en-US"/>
                </w:rPr>
                <m:t>15</m:t>
              </m:r>
            </m:num>
            <m:den>
              <m:r>
                <w:rPr>
                  <w:rFonts w:ascii="Cambria Math" w:eastAsiaTheme="minorEastAsia" w:hAnsi="Cambria Math" w:cs="Times New Roman"/>
                  <w:sz w:val="24"/>
                  <w:szCs w:val="24"/>
                  <w:lang w:val="en-US"/>
                </w:rPr>
                <m:t>125</m:t>
              </m:r>
            </m:den>
          </m:f>
          <m:r>
            <w:rPr>
              <w:rFonts w:ascii="Cambria Math" w:eastAsiaTheme="minorEastAsia" w:hAnsi="Cambria Math" w:cs="Times New Roman"/>
              <w:sz w:val="24"/>
              <w:szCs w:val="24"/>
              <w:lang w:val="en-US"/>
            </w:rPr>
            <m:t>=0.12</m:t>
          </m:r>
        </m:oMath>
      </m:oMathPara>
    </w:p>
    <w:p w14:paraId="28259671" w14:textId="77777777" w:rsidR="000902B3" w:rsidRPr="008D2429" w:rsidRDefault="00901469" w:rsidP="008D2429">
      <w:pPr>
        <w:spacing w:line="480" w:lineRule="auto"/>
        <w:rPr>
          <w:rFonts w:ascii="Times New Roman" w:eastAsiaTheme="minorEastAsia" w:hAnsi="Times New Roman" w:cs="Times New Roman"/>
          <w:iCs/>
          <w:sz w:val="24"/>
          <w:szCs w:val="24"/>
          <w:lang w:val="en-US"/>
        </w:rPr>
      </w:pPr>
      <w:r w:rsidRPr="008D2429">
        <w:rPr>
          <w:rFonts w:ascii="Times New Roman" w:eastAsiaTheme="minorEastAsia" w:hAnsi="Times New Roman" w:cs="Times New Roman"/>
          <w:iCs/>
          <w:sz w:val="24"/>
          <w:szCs w:val="24"/>
          <w:lang w:val="en-US"/>
        </w:rPr>
        <w:t xml:space="preserve">Two events are said to be independent when the occurrence of one event does not affect the occurrence of the other event </w:t>
      </w:r>
      <w:r w:rsidRPr="008D2429">
        <w:rPr>
          <w:rFonts w:ascii="Times New Roman" w:hAnsi="Times New Roman" w:cs="Times New Roman"/>
          <w:color w:val="000000"/>
          <w:sz w:val="24"/>
          <w:szCs w:val="24"/>
          <w:shd w:val="clear" w:color="auto" w:fill="FFFFFF"/>
        </w:rPr>
        <w:t>(Holmes, Illowsky</w:t>
      </w:r>
      <w:bookmarkStart w:id="0" w:name="_GoBack"/>
      <w:bookmarkEnd w:id="0"/>
      <w:r w:rsidRPr="008D2429">
        <w:rPr>
          <w:rFonts w:ascii="Times New Roman" w:hAnsi="Times New Roman" w:cs="Times New Roman"/>
          <w:color w:val="000000"/>
          <w:sz w:val="24"/>
          <w:szCs w:val="24"/>
          <w:shd w:val="clear" w:color="auto" w:fill="FFFFFF"/>
        </w:rPr>
        <w:t xml:space="preserve"> &amp; Dean, 2017)</w:t>
      </w:r>
      <w:r w:rsidRPr="008D2429">
        <w:rPr>
          <w:rFonts w:ascii="Times New Roman" w:eastAsiaTheme="minorEastAsia" w:hAnsi="Times New Roman" w:cs="Times New Roman"/>
          <w:iCs/>
          <w:sz w:val="24"/>
          <w:szCs w:val="24"/>
          <w:lang w:val="en-US"/>
        </w:rPr>
        <w:t xml:space="preserve">. </w:t>
      </w:r>
      <w:r w:rsidR="000902B3" w:rsidRPr="008D2429">
        <w:rPr>
          <w:rFonts w:ascii="Times New Roman" w:eastAsiaTheme="minorEastAsia" w:hAnsi="Times New Roman" w:cs="Times New Roman"/>
          <w:iCs/>
          <w:sz w:val="24"/>
          <w:szCs w:val="24"/>
          <w:lang w:val="en-US"/>
        </w:rPr>
        <w:t xml:space="preserve">The events are said to be independent when </w:t>
      </w:r>
      <m:oMath>
        <m:r>
          <w:rPr>
            <w:rFonts w:ascii="Cambria Math" w:eastAsiaTheme="minorEastAsia" w:hAnsi="Cambria Math" w:cs="Times New Roman"/>
            <w:sz w:val="24"/>
            <w:szCs w:val="24"/>
            <w:lang w:val="en-US"/>
          </w:rPr>
          <m:t>P</m:t>
        </m:r>
        <m:d>
          <m:dPr>
            <m:ctrlPr>
              <w:rPr>
                <w:rFonts w:ascii="Cambria Math" w:eastAsiaTheme="minorEastAsia" w:hAnsi="Cambria Math" w:cs="Times New Roman"/>
                <w:i/>
                <w:iCs/>
                <w:sz w:val="24"/>
                <w:szCs w:val="24"/>
                <w:lang w:val="en-US"/>
              </w:rPr>
            </m:ctrlPr>
          </m:dPr>
          <m:e>
            <m:r>
              <w:rPr>
                <w:rFonts w:ascii="Cambria Math" w:eastAsiaTheme="minorEastAsia" w:hAnsi="Cambria Math" w:cs="Times New Roman"/>
                <w:sz w:val="24"/>
                <w:szCs w:val="24"/>
                <w:lang w:val="en-US"/>
              </w:rPr>
              <m:t>A</m:t>
            </m:r>
          </m:e>
          <m:e>
            <m:r>
              <w:rPr>
                <w:rFonts w:ascii="Cambria Math" w:eastAsiaTheme="minorEastAsia" w:hAnsi="Cambria Math" w:cs="Times New Roman"/>
                <w:sz w:val="24"/>
                <w:szCs w:val="24"/>
                <w:lang w:val="en-US"/>
              </w:rPr>
              <m:t>B</m:t>
            </m:r>
          </m:e>
        </m:d>
        <m:r>
          <w:rPr>
            <w:rFonts w:ascii="Cambria Math" w:eastAsiaTheme="minorEastAsia" w:hAnsi="Cambria Math" w:cs="Times New Roman"/>
            <w:sz w:val="24"/>
            <w:szCs w:val="24"/>
            <w:lang w:val="en-US"/>
          </w:rPr>
          <m:t>=P(A)</m:t>
        </m:r>
      </m:oMath>
      <w:r w:rsidR="000902B3" w:rsidRPr="008D2429">
        <w:rPr>
          <w:rFonts w:ascii="Times New Roman" w:eastAsiaTheme="minorEastAsia" w:hAnsi="Times New Roman" w:cs="Times New Roman"/>
          <w:iCs/>
          <w:sz w:val="24"/>
          <w:szCs w:val="24"/>
          <w:lang w:val="en-US"/>
        </w:rPr>
        <w:t xml:space="preserve"> or </w:t>
      </w:r>
      <m:oMath>
        <m:r>
          <w:rPr>
            <w:rFonts w:ascii="Cambria Math" w:eastAsiaTheme="minorEastAsia" w:hAnsi="Cambria Math" w:cs="Times New Roman"/>
            <w:sz w:val="24"/>
            <w:szCs w:val="24"/>
            <w:lang w:val="en-US"/>
          </w:rPr>
          <m:t>P</m:t>
        </m:r>
        <m:d>
          <m:dPr>
            <m:ctrlPr>
              <w:rPr>
                <w:rFonts w:ascii="Cambria Math" w:eastAsiaTheme="minorEastAsia" w:hAnsi="Cambria Math" w:cs="Times New Roman"/>
                <w:i/>
                <w:iCs/>
                <w:sz w:val="24"/>
                <w:szCs w:val="24"/>
                <w:lang w:val="en-US"/>
              </w:rPr>
            </m:ctrlPr>
          </m:dPr>
          <m:e>
            <m:r>
              <w:rPr>
                <w:rFonts w:ascii="Cambria Math" w:eastAsiaTheme="minorEastAsia" w:hAnsi="Cambria Math" w:cs="Times New Roman"/>
                <w:sz w:val="24"/>
                <w:szCs w:val="24"/>
                <w:lang w:val="en-US"/>
              </w:rPr>
              <m:t>B</m:t>
            </m:r>
          </m:e>
          <m:e>
            <m:r>
              <w:rPr>
                <w:rFonts w:ascii="Cambria Math" w:eastAsiaTheme="minorEastAsia" w:hAnsi="Cambria Math" w:cs="Times New Roman"/>
                <w:sz w:val="24"/>
                <w:szCs w:val="24"/>
                <w:lang w:val="en-US"/>
              </w:rPr>
              <m:t>A</m:t>
            </m:r>
          </m:e>
        </m:d>
        <m:r>
          <w:rPr>
            <w:rFonts w:ascii="Cambria Math" w:eastAsiaTheme="minorEastAsia" w:hAnsi="Cambria Math" w:cs="Times New Roman"/>
            <w:sz w:val="24"/>
            <w:szCs w:val="24"/>
            <w:lang w:val="en-US"/>
          </w:rPr>
          <m:t>=P(B)</m:t>
        </m:r>
      </m:oMath>
      <w:r w:rsidR="000902B3" w:rsidRPr="008D2429">
        <w:rPr>
          <w:rFonts w:ascii="Times New Roman" w:eastAsiaTheme="minorEastAsia" w:hAnsi="Times New Roman" w:cs="Times New Roman"/>
          <w:iCs/>
          <w:sz w:val="24"/>
          <w:szCs w:val="24"/>
          <w:lang w:val="en-US"/>
        </w:rPr>
        <w:t>. In this scenario, if we need to find whether events A and B are independent, we will evaluate as follows:</w:t>
      </w:r>
    </w:p>
    <w:p w14:paraId="1CFF30D5" w14:textId="249C5B7C" w:rsidR="000902B3" w:rsidRPr="008D2429" w:rsidRDefault="000902B3" w:rsidP="008D2429">
      <w:pPr>
        <w:spacing w:line="480" w:lineRule="auto"/>
        <w:rPr>
          <w:rFonts w:ascii="Times New Roman" w:eastAsiaTheme="minorEastAsia" w:hAnsi="Times New Roman" w:cs="Times New Roman"/>
          <w:iCs/>
          <w:sz w:val="24"/>
          <w:szCs w:val="24"/>
          <w:lang w:val="en-US"/>
        </w:rPr>
      </w:pPr>
      <m:oMathPara>
        <m:oMath>
          <m:r>
            <w:rPr>
              <w:rFonts w:ascii="Cambria Math" w:eastAsiaTheme="minorEastAsia" w:hAnsi="Cambria Math" w:cs="Times New Roman"/>
              <w:sz w:val="24"/>
              <w:szCs w:val="24"/>
              <w:lang w:val="en-US"/>
            </w:rPr>
            <m:t>P</m:t>
          </m:r>
          <m:d>
            <m:dPr>
              <m:ctrlPr>
                <w:rPr>
                  <w:rFonts w:ascii="Cambria Math" w:eastAsiaTheme="minorEastAsia" w:hAnsi="Cambria Math" w:cs="Times New Roman"/>
                  <w:i/>
                  <w:iCs/>
                  <w:sz w:val="24"/>
                  <w:szCs w:val="24"/>
                  <w:lang w:val="en-US"/>
                </w:rPr>
              </m:ctrlPr>
            </m:dPr>
            <m:e>
              <m:r>
                <w:rPr>
                  <w:rFonts w:ascii="Cambria Math" w:eastAsiaTheme="minorEastAsia" w:hAnsi="Cambria Math" w:cs="Times New Roman"/>
                  <w:sz w:val="24"/>
                  <w:szCs w:val="24"/>
                  <w:lang w:val="en-US"/>
                </w:rPr>
                <m:t>A</m:t>
              </m:r>
            </m:e>
            <m:e>
              <m:r>
                <w:rPr>
                  <w:rFonts w:ascii="Cambria Math" w:eastAsiaTheme="minorEastAsia" w:hAnsi="Cambria Math" w:cs="Times New Roman"/>
                  <w:sz w:val="24"/>
                  <w:szCs w:val="24"/>
                  <w:lang w:val="en-US"/>
                </w:rPr>
                <m:t>B</m:t>
              </m:r>
            </m:e>
          </m:d>
          <m:r>
            <w:rPr>
              <w:rFonts w:ascii="Cambria Math" w:eastAsiaTheme="minorEastAsia" w:hAnsi="Cambria Math" w:cs="Times New Roman"/>
              <w:sz w:val="24"/>
              <w:szCs w:val="24"/>
              <w:lang w:val="en-US"/>
            </w:rPr>
            <m:t>=0.12</m:t>
          </m:r>
        </m:oMath>
      </m:oMathPara>
    </w:p>
    <w:p w14:paraId="4B5EC38C" w14:textId="00F0268F" w:rsidR="000902B3" w:rsidRPr="008D2429" w:rsidRDefault="000902B3" w:rsidP="008D2429">
      <w:pPr>
        <w:spacing w:line="480" w:lineRule="auto"/>
        <w:rPr>
          <w:rFonts w:ascii="Times New Roman" w:eastAsiaTheme="minorEastAsia" w:hAnsi="Times New Roman" w:cs="Times New Roman"/>
          <w:iCs/>
          <w:sz w:val="24"/>
          <w:szCs w:val="24"/>
          <w:lang w:val="en-US"/>
        </w:rPr>
      </w:pPr>
      <m:oMathPara>
        <m:oMath>
          <m:r>
            <w:rPr>
              <w:rFonts w:ascii="Cambria Math" w:eastAsiaTheme="minorEastAsia" w:hAnsi="Cambria Math" w:cs="Times New Roman"/>
              <w:sz w:val="24"/>
              <w:szCs w:val="24"/>
              <w:lang w:val="en-US"/>
            </w:rPr>
            <m:t>P</m:t>
          </m:r>
          <m:d>
            <m:dPr>
              <m:ctrlPr>
                <w:rPr>
                  <w:rFonts w:ascii="Cambria Math" w:eastAsiaTheme="minorEastAsia" w:hAnsi="Cambria Math" w:cs="Times New Roman"/>
                  <w:i/>
                  <w:iCs/>
                  <w:sz w:val="24"/>
                  <w:szCs w:val="24"/>
                  <w:lang w:val="en-US"/>
                </w:rPr>
              </m:ctrlPr>
            </m:dPr>
            <m:e>
              <m:r>
                <w:rPr>
                  <w:rFonts w:ascii="Cambria Math" w:eastAsiaTheme="minorEastAsia" w:hAnsi="Cambria Math" w:cs="Times New Roman"/>
                  <w:sz w:val="24"/>
                  <w:szCs w:val="24"/>
                  <w:lang w:val="en-US"/>
                </w:rPr>
                <m:t>A</m:t>
              </m:r>
            </m:e>
          </m:d>
          <m:r>
            <w:rPr>
              <w:rFonts w:ascii="Cambria Math" w:eastAsiaTheme="minorEastAsia" w:hAnsi="Cambria Math" w:cs="Times New Roman"/>
              <w:sz w:val="24"/>
              <w:szCs w:val="24"/>
              <w:lang w:val="en-US"/>
            </w:rPr>
            <m:t>=0.267</m:t>
          </m:r>
        </m:oMath>
      </m:oMathPara>
    </w:p>
    <w:p w14:paraId="5EDC83C3" w14:textId="2B73735B" w:rsidR="003F1B17" w:rsidRPr="008D2429" w:rsidRDefault="003F1B17" w:rsidP="008D2429">
      <w:pPr>
        <w:spacing w:line="480" w:lineRule="auto"/>
        <w:rPr>
          <w:rFonts w:ascii="Times New Roman" w:eastAsiaTheme="minorEastAsia" w:hAnsi="Times New Roman" w:cs="Times New Roman"/>
          <w:iCs/>
          <w:sz w:val="24"/>
          <w:szCs w:val="24"/>
          <w:lang w:val="en-US"/>
        </w:rPr>
      </w:pPr>
      <w:r w:rsidRPr="008D2429">
        <w:rPr>
          <w:rFonts w:ascii="Times New Roman" w:eastAsiaTheme="minorEastAsia" w:hAnsi="Times New Roman" w:cs="Times New Roman"/>
          <w:iCs/>
          <w:sz w:val="24"/>
          <w:szCs w:val="24"/>
          <w:lang w:val="en-US"/>
        </w:rPr>
        <w:t xml:space="preserve">Events A and B are not independent since </w:t>
      </w:r>
      <m:oMath>
        <m:r>
          <w:rPr>
            <w:rFonts w:ascii="Cambria Math" w:eastAsiaTheme="minorEastAsia" w:hAnsi="Cambria Math" w:cs="Times New Roman"/>
            <w:sz w:val="24"/>
            <w:szCs w:val="24"/>
            <w:lang w:val="en-US"/>
          </w:rPr>
          <m:t>P(A|B)≠P(A)</m:t>
        </m:r>
      </m:oMath>
      <w:r w:rsidR="008D2CB7" w:rsidRPr="008D2429">
        <w:rPr>
          <w:rFonts w:ascii="Times New Roman" w:eastAsiaTheme="minorEastAsia" w:hAnsi="Times New Roman" w:cs="Times New Roman"/>
          <w:iCs/>
          <w:sz w:val="24"/>
          <w:szCs w:val="24"/>
          <w:lang w:val="en-US"/>
        </w:rPr>
        <w:t>. This means that the occurrence of event A is affected by the occurrence of event B and vi</w:t>
      </w:r>
      <w:r w:rsidR="00913675" w:rsidRPr="008D2429">
        <w:rPr>
          <w:rFonts w:ascii="Times New Roman" w:eastAsiaTheme="minorEastAsia" w:hAnsi="Times New Roman" w:cs="Times New Roman"/>
          <w:iCs/>
          <w:sz w:val="24"/>
          <w:szCs w:val="24"/>
          <w:lang w:val="en-US"/>
        </w:rPr>
        <w:t>c</w:t>
      </w:r>
      <w:r w:rsidR="008D2CB7" w:rsidRPr="008D2429">
        <w:rPr>
          <w:rFonts w:ascii="Times New Roman" w:eastAsiaTheme="minorEastAsia" w:hAnsi="Times New Roman" w:cs="Times New Roman"/>
          <w:iCs/>
          <w:sz w:val="24"/>
          <w:szCs w:val="24"/>
          <w:lang w:val="en-US"/>
        </w:rPr>
        <w:t>e versa.</w:t>
      </w:r>
    </w:p>
    <w:p w14:paraId="46907537" w14:textId="6B8882AB" w:rsidR="00CB7CE4" w:rsidRPr="008D2429" w:rsidRDefault="00CB7CE4" w:rsidP="008D2429">
      <w:pPr>
        <w:spacing w:line="480" w:lineRule="auto"/>
        <w:ind w:firstLine="720"/>
        <w:rPr>
          <w:rFonts w:ascii="Times New Roman" w:eastAsiaTheme="minorEastAsia" w:hAnsi="Times New Roman" w:cs="Times New Roman"/>
          <w:iCs/>
          <w:sz w:val="24"/>
          <w:szCs w:val="24"/>
          <w:lang w:val="en-US"/>
        </w:rPr>
      </w:pPr>
      <w:r w:rsidRPr="008D2429">
        <w:rPr>
          <w:rFonts w:ascii="Times New Roman" w:eastAsiaTheme="minorEastAsia" w:hAnsi="Times New Roman" w:cs="Times New Roman"/>
          <w:iCs/>
          <w:sz w:val="24"/>
          <w:szCs w:val="24"/>
          <w:lang w:val="en-US"/>
        </w:rPr>
        <w:t xml:space="preserve">From the above analysis, we can speculate that </w:t>
      </w:r>
      <w:r w:rsidR="00A01A85" w:rsidRPr="008D2429">
        <w:rPr>
          <w:rFonts w:ascii="Times New Roman" w:eastAsiaTheme="minorEastAsia" w:hAnsi="Times New Roman" w:cs="Times New Roman"/>
          <w:iCs/>
          <w:sz w:val="24"/>
          <w:szCs w:val="24"/>
          <w:lang w:val="en-US"/>
        </w:rPr>
        <w:t xml:space="preserve">the percentage of homes that remain listed for more than 91 days before being sold is 26.7% which is a very high percentage. The company should improve their marketing skills to reduce the number of days homes remain being unsold. There is low percentage of homes with an initial asking price of under $175,000. The company should increase the number of homes in this category to gain more clients. </w:t>
      </w:r>
      <w:r w:rsidR="00DE0294" w:rsidRPr="008D2429">
        <w:rPr>
          <w:rFonts w:ascii="Times New Roman" w:eastAsiaTheme="minorEastAsia" w:hAnsi="Times New Roman" w:cs="Times New Roman"/>
          <w:sz w:val="24"/>
          <w:szCs w:val="24"/>
        </w:rPr>
        <w:t>P</w:t>
      </w:r>
      <w:r w:rsidR="00BB3DA4" w:rsidRPr="008D2429">
        <w:rPr>
          <w:rFonts w:ascii="Times New Roman" w:eastAsiaTheme="minorEastAsia" w:hAnsi="Times New Roman" w:cs="Times New Roman"/>
          <w:sz w:val="24"/>
          <w:szCs w:val="24"/>
        </w:rPr>
        <w:t>robability that a home is listed for more than 91 days before being sold and has an initial asking price under $175,000 is very low (1.7%) which is quite encouraging for the company</w:t>
      </w:r>
      <w:r w:rsidR="00DE0294" w:rsidRPr="008D2429">
        <w:rPr>
          <w:rFonts w:ascii="Times New Roman" w:eastAsiaTheme="minorEastAsia" w:hAnsi="Times New Roman" w:cs="Times New Roman"/>
          <w:sz w:val="24"/>
          <w:szCs w:val="24"/>
        </w:rPr>
        <w:t>. In general, the above analysis can help Valley Realty management to determine how the asking price for a home affects the number of days the home remain listed before being sold</w:t>
      </w:r>
    </w:p>
    <w:p w14:paraId="20AA707B" w14:textId="77777777" w:rsidR="008D2CB7" w:rsidRPr="008D2429" w:rsidRDefault="008D2CB7" w:rsidP="008D2429">
      <w:pPr>
        <w:spacing w:line="480" w:lineRule="auto"/>
        <w:rPr>
          <w:rFonts w:ascii="Times New Roman" w:eastAsiaTheme="minorEastAsia" w:hAnsi="Times New Roman" w:cs="Times New Roman"/>
          <w:iCs/>
          <w:sz w:val="24"/>
          <w:szCs w:val="24"/>
          <w:lang w:val="en-US"/>
        </w:rPr>
      </w:pPr>
    </w:p>
    <w:p w14:paraId="56CBF7FD" w14:textId="2D0129B9" w:rsidR="00901469" w:rsidRPr="008D2429" w:rsidRDefault="00901469" w:rsidP="008D2429">
      <w:pPr>
        <w:spacing w:line="480" w:lineRule="auto"/>
        <w:jc w:val="center"/>
        <w:rPr>
          <w:rFonts w:ascii="Times New Roman" w:eastAsiaTheme="minorEastAsia" w:hAnsi="Times New Roman" w:cs="Times New Roman"/>
          <w:iCs/>
          <w:sz w:val="24"/>
          <w:szCs w:val="24"/>
          <w:lang w:val="en-US"/>
        </w:rPr>
      </w:pPr>
      <w:r w:rsidRPr="008D2429">
        <w:rPr>
          <w:rFonts w:ascii="Times New Roman" w:eastAsiaTheme="minorEastAsia" w:hAnsi="Times New Roman" w:cs="Times New Roman"/>
          <w:iCs/>
          <w:sz w:val="24"/>
          <w:szCs w:val="24"/>
          <w:lang w:val="en-US"/>
        </w:rPr>
        <w:t>References</w:t>
      </w:r>
    </w:p>
    <w:p w14:paraId="4B59D3A8" w14:textId="79B5C960" w:rsidR="00901469" w:rsidRPr="008D2429" w:rsidRDefault="00014D26" w:rsidP="008D2429">
      <w:pPr>
        <w:spacing w:line="480" w:lineRule="auto"/>
        <w:rPr>
          <w:rFonts w:ascii="Times New Roman" w:eastAsiaTheme="minorEastAsia" w:hAnsi="Times New Roman" w:cs="Times New Roman"/>
          <w:iCs/>
          <w:sz w:val="24"/>
          <w:szCs w:val="24"/>
          <w:lang w:val="en-US"/>
        </w:rPr>
      </w:pPr>
      <w:r w:rsidRPr="008D2429">
        <w:rPr>
          <w:rFonts w:ascii="Times New Roman" w:hAnsi="Times New Roman" w:cs="Times New Roman"/>
          <w:color w:val="000000"/>
          <w:sz w:val="24"/>
          <w:szCs w:val="24"/>
          <w:shd w:val="clear" w:color="auto" w:fill="FFFFFF"/>
        </w:rPr>
        <w:t>Holmes, A., Illowsky, B., &amp; Dean, S. (2017). </w:t>
      </w:r>
      <w:r w:rsidRPr="008D2429">
        <w:rPr>
          <w:rFonts w:ascii="Times New Roman" w:hAnsi="Times New Roman" w:cs="Times New Roman"/>
          <w:i/>
          <w:iCs/>
          <w:color w:val="000000"/>
          <w:sz w:val="24"/>
          <w:szCs w:val="24"/>
          <w:shd w:val="clear" w:color="auto" w:fill="FFFFFF"/>
        </w:rPr>
        <w:t>Introductory business statistics</w:t>
      </w:r>
      <w:r w:rsidRPr="008D2429">
        <w:rPr>
          <w:rFonts w:ascii="Times New Roman" w:hAnsi="Times New Roman" w:cs="Times New Roman"/>
          <w:color w:val="000000"/>
          <w:sz w:val="24"/>
          <w:szCs w:val="24"/>
          <w:shd w:val="clear" w:color="auto" w:fill="FFFFFF"/>
        </w:rPr>
        <w:t>.</w:t>
      </w:r>
    </w:p>
    <w:sectPr w:rsidR="00901469" w:rsidRPr="008D242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7MwNDA0NzO1MDE3MDRT0lEKTi0uzszPAykwrAUALxcYxSwAAAA="/>
  </w:docVars>
  <w:rsids>
    <w:rsidRoot w:val="00A02269"/>
    <w:rsid w:val="00014D26"/>
    <w:rsid w:val="00020FD0"/>
    <w:rsid w:val="000902B3"/>
    <w:rsid w:val="001071F0"/>
    <w:rsid w:val="00280269"/>
    <w:rsid w:val="0036434A"/>
    <w:rsid w:val="003B0249"/>
    <w:rsid w:val="003F1B17"/>
    <w:rsid w:val="00784058"/>
    <w:rsid w:val="007874F7"/>
    <w:rsid w:val="008D2429"/>
    <w:rsid w:val="008D2CB7"/>
    <w:rsid w:val="00901469"/>
    <w:rsid w:val="00913675"/>
    <w:rsid w:val="00913E20"/>
    <w:rsid w:val="00A01A85"/>
    <w:rsid w:val="00A02269"/>
    <w:rsid w:val="00AA4407"/>
    <w:rsid w:val="00AE34FD"/>
    <w:rsid w:val="00BB3DA4"/>
    <w:rsid w:val="00BD7F22"/>
    <w:rsid w:val="00C800DA"/>
    <w:rsid w:val="00C81F61"/>
    <w:rsid w:val="00CB7CE4"/>
    <w:rsid w:val="00DE0294"/>
    <w:rsid w:val="00FE228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C7471F"/>
  <w15:chartTrackingRefBased/>
  <w15:docId w15:val="{4A4D065A-D881-49F3-AA4C-B9307CC058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020FD0"/>
    <w:pPr>
      <w:jc w:val="both"/>
    </w:pPr>
  </w:style>
  <w:style w:type="paragraph" w:styleId="Heading1">
    <w:name w:val="heading 1"/>
    <w:basedOn w:val="Normal"/>
    <w:next w:val="Normal"/>
    <w:link w:val="Heading1Char"/>
    <w:autoRedefine/>
    <w:uiPriority w:val="9"/>
    <w:qFormat/>
    <w:rsid w:val="00020FD0"/>
    <w:pPr>
      <w:keepNext/>
      <w:keepLines/>
      <w:spacing w:before="240" w:after="0"/>
      <w:jc w:val="center"/>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20FD0"/>
    <w:rPr>
      <w:rFonts w:asciiTheme="majorHAnsi" w:eastAsiaTheme="majorEastAsia" w:hAnsiTheme="majorHAnsi" w:cstheme="majorBidi"/>
      <w:color w:val="2F5496" w:themeColor="accent1" w:themeShade="BF"/>
      <w:sz w:val="32"/>
      <w:szCs w:val="32"/>
    </w:rPr>
  </w:style>
  <w:style w:type="character" w:styleId="Emphasis">
    <w:name w:val="Emphasis"/>
    <w:basedOn w:val="DefaultParagraphFont"/>
    <w:uiPriority w:val="20"/>
    <w:qFormat/>
    <w:rsid w:val="00A02269"/>
    <w:rPr>
      <w:i/>
      <w:iCs/>
    </w:rPr>
  </w:style>
  <w:style w:type="character" w:styleId="PlaceholderText">
    <w:name w:val="Placeholder Text"/>
    <w:basedOn w:val="DefaultParagraphFont"/>
    <w:uiPriority w:val="99"/>
    <w:semiHidden/>
    <w:rsid w:val="00A02269"/>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500</Words>
  <Characters>2853</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ANNIETA</dc:creator>
  <cp:keywords/>
  <dc:description/>
  <cp:lastModifiedBy>MUSUMBA</cp:lastModifiedBy>
  <cp:revision>2</cp:revision>
  <dcterms:created xsi:type="dcterms:W3CDTF">2021-09-23T07:46:00Z</dcterms:created>
  <dcterms:modified xsi:type="dcterms:W3CDTF">2021-09-23T07:46:00Z</dcterms:modified>
</cp:coreProperties>
</file>